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904" w:rsidRPr="003A7904" w:rsidRDefault="003A7904" w:rsidP="003A7904">
      <w:pPr>
        <w:jc w:val="both"/>
        <w:rPr>
          <w:b/>
          <w:sz w:val="36"/>
          <w:szCs w:val="36"/>
        </w:rPr>
      </w:pPr>
      <w:r w:rsidRPr="003A7904">
        <w:rPr>
          <w:b/>
          <w:sz w:val="36"/>
          <w:szCs w:val="36"/>
        </w:rPr>
        <w:t>Vergütungsvereinbarung</w:t>
      </w:r>
    </w:p>
    <w:p w:rsidR="003A7904" w:rsidRDefault="003A7904" w:rsidP="003A7904">
      <w:pPr>
        <w:jc w:val="both"/>
      </w:pPr>
      <w:r>
        <w:t>Zwischen</w:t>
      </w:r>
    </w:p>
    <w:p w:rsidR="003A7904" w:rsidRDefault="003A7904" w:rsidP="003A7904">
      <w:pPr>
        <w:jc w:val="both"/>
      </w:pPr>
      <w:r>
        <w:t>…………</w:t>
      </w:r>
      <w:r>
        <w:t xml:space="preserve">             </w:t>
      </w:r>
    </w:p>
    <w:p w:rsidR="003A7904" w:rsidRDefault="003A7904" w:rsidP="003A7904">
      <w:pPr>
        <w:jc w:val="both"/>
      </w:pPr>
      <w:r>
        <w:t>(im Weiteren: „Mandant“)</w:t>
      </w:r>
    </w:p>
    <w:p w:rsidR="003A7904" w:rsidRDefault="003A7904" w:rsidP="003A7904">
      <w:pPr>
        <w:jc w:val="both"/>
      </w:pPr>
      <w:r>
        <w:t>und</w:t>
      </w:r>
    </w:p>
    <w:p w:rsidR="003A7904" w:rsidRDefault="003A7904" w:rsidP="003A7904">
      <w:pPr>
        <w:spacing w:line="240" w:lineRule="auto"/>
        <w:jc w:val="both"/>
      </w:pPr>
      <w:r>
        <w:t>Rechtsanwaltskanzlei Winter &amp; Partner GbR,</w:t>
      </w:r>
    </w:p>
    <w:p w:rsidR="003A7904" w:rsidRDefault="003A7904" w:rsidP="003A7904">
      <w:pPr>
        <w:spacing w:line="240" w:lineRule="auto"/>
        <w:jc w:val="both"/>
      </w:pPr>
      <w:r>
        <w:t>Bundesallee 221,</w:t>
      </w:r>
    </w:p>
    <w:p w:rsidR="003A7904" w:rsidRDefault="003A7904" w:rsidP="003A7904">
      <w:pPr>
        <w:spacing w:line="240" w:lineRule="auto"/>
        <w:jc w:val="both"/>
      </w:pPr>
      <w:r>
        <w:t>10719 Berlin</w:t>
      </w:r>
    </w:p>
    <w:p w:rsidR="003A7904" w:rsidRDefault="003A7904" w:rsidP="003A7904">
      <w:pPr>
        <w:jc w:val="both"/>
      </w:pPr>
      <w:r>
        <w:t> </w:t>
      </w:r>
      <w:r>
        <w:t>(im Weiteren: „Rechtsanwälte“)</w:t>
      </w:r>
    </w:p>
    <w:p w:rsidR="003A7904" w:rsidRDefault="003A7904" w:rsidP="003A7904">
      <w:pPr>
        <w:jc w:val="both"/>
      </w:pPr>
      <w:r>
        <w:t>kommt folgende Vergütungsvereinbarung zustande:</w:t>
      </w:r>
    </w:p>
    <w:p w:rsidR="003A7904" w:rsidRPr="003A7904" w:rsidRDefault="003A7904" w:rsidP="003A7904">
      <w:pPr>
        <w:jc w:val="both"/>
        <w:rPr>
          <w:b/>
        </w:rPr>
      </w:pPr>
      <w:r w:rsidRPr="003A7904">
        <w:rPr>
          <w:b/>
        </w:rPr>
        <w:t>I. Mandatsge</w:t>
      </w:r>
      <w:r w:rsidRPr="003A7904">
        <w:rPr>
          <w:b/>
        </w:rPr>
        <w:t>genstand, Tätigkeit des Anwalts</w:t>
      </w:r>
    </w:p>
    <w:p w:rsidR="003A7904" w:rsidRDefault="003A7904" w:rsidP="003A7904">
      <w:pPr>
        <w:jc w:val="both"/>
      </w:pPr>
      <w:r>
        <w:t>   </w:t>
      </w:r>
      <w:r>
        <w:t>…..</w:t>
      </w:r>
      <w:r>
        <w:t>      </w:t>
      </w:r>
    </w:p>
    <w:p w:rsidR="003A7904" w:rsidRDefault="003A7904" w:rsidP="003A7904">
      <w:pPr>
        <w:jc w:val="both"/>
      </w:pPr>
      <w:r>
        <w:t xml:space="preserve">    </w:t>
      </w:r>
    </w:p>
    <w:p w:rsidR="003A7904" w:rsidRPr="003A7904" w:rsidRDefault="003A7904" w:rsidP="003A7904">
      <w:pPr>
        <w:jc w:val="both"/>
        <w:rPr>
          <w:b/>
        </w:rPr>
      </w:pPr>
      <w:r w:rsidRPr="003A7904">
        <w:rPr>
          <w:b/>
        </w:rPr>
        <w:t>II. Vergütung</w:t>
      </w:r>
    </w:p>
    <w:p w:rsidR="003A7904" w:rsidRDefault="003A7904" w:rsidP="003A7904">
      <w:pPr>
        <w:jc w:val="both"/>
      </w:pPr>
      <w:r>
        <w:t>1.</w:t>
      </w:r>
    </w:p>
    <w:p w:rsidR="003A7904" w:rsidRDefault="003A7904" w:rsidP="003A7904">
      <w:pPr>
        <w:jc w:val="both"/>
      </w:pPr>
      <w:r>
        <w:t>Die Abrechnung der Tätigkeit der Rechtsanwälte erfolgt unter minutengenauer Erfassung nach Zeitaufwand. Es ist je</w:t>
      </w:r>
      <w:r>
        <w:t xml:space="preserve"> sachbearbeitenden Rechtsanwalt</w:t>
      </w:r>
      <w:r>
        <w:t xml:space="preserve"> folgender Stundensatz vereinbart:</w:t>
      </w:r>
    </w:p>
    <w:p w:rsidR="003A7904" w:rsidRDefault="003A7904" w:rsidP="003A7904">
      <w:pPr>
        <w:jc w:val="both"/>
      </w:pPr>
      <w:r>
        <w:t>EUR             </w:t>
      </w:r>
    </w:p>
    <w:p w:rsidR="003A7904" w:rsidRDefault="003A7904" w:rsidP="003A7904">
      <w:pPr>
        <w:jc w:val="both"/>
      </w:pPr>
      <w:r>
        <w:t>Dies gilt auch für die Vertretung in gerichtlichen Angelegenheiten, es sei denn, das sich unter Zugrundelegung des vorstehenden Stundensatzes ergebende Honorar unterschreitet die für diese Tätigkeit vorgesehenen gesetzlichen Gebühren. In diesem Fall sind die gesetzlichen Gebühren geschuldet.</w:t>
      </w:r>
    </w:p>
    <w:p w:rsidR="003A7904" w:rsidRDefault="003A7904" w:rsidP="003A7904">
      <w:pPr>
        <w:jc w:val="both"/>
      </w:pPr>
      <w:r>
        <w:t>2.</w:t>
      </w:r>
    </w:p>
    <w:p w:rsidR="003A7904" w:rsidRDefault="003A7904" w:rsidP="003A7904">
      <w:pPr>
        <w:jc w:val="both"/>
      </w:pPr>
      <w:r>
        <w:t xml:space="preserve">Ohne Mandatsbearbeitung angefallene Reisezeiten des Rechtsanwalts werden mit </w:t>
      </w:r>
      <w:r>
        <w:t xml:space="preserve">der Hälfte </w:t>
      </w:r>
      <w:r>
        <w:t>des obigen Stundensatzes berechnet. Verauslagte Reisekosten sind du</w:t>
      </w:r>
      <w:r>
        <w:t>rch den Mandanten zu erstatten.</w:t>
      </w:r>
    </w:p>
    <w:p w:rsidR="003A7904" w:rsidRDefault="003A7904" w:rsidP="003A7904">
      <w:pPr>
        <w:jc w:val="both"/>
      </w:pPr>
      <w:r>
        <w:t>3.</w:t>
      </w:r>
    </w:p>
    <w:p w:rsidR="003A7904" w:rsidRDefault="003A7904" w:rsidP="003A7904">
      <w:pPr>
        <w:jc w:val="both"/>
      </w:pPr>
      <w:r>
        <w:t>Die Rechtsanwälte erhalten auf sämtliche nach dieser Vereinbarung geschuldete Zahlungen Umsatzsteue</w:t>
      </w:r>
      <w:r>
        <w:t>r in jeweils gesetzlicher Höhe.</w:t>
      </w:r>
    </w:p>
    <w:p w:rsidR="003A7904" w:rsidRDefault="003A7904" w:rsidP="003A7904">
      <w:pPr>
        <w:jc w:val="both"/>
      </w:pPr>
      <w:r>
        <w:t>4.</w:t>
      </w:r>
    </w:p>
    <w:p w:rsidR="003A7904" w:rsidRDefault="003A7904" w:rsidP="003A7904">
      <w:pPr>
        <w:jc w:val="both"/>
      </w:pPr>
      <w:r>
        <w:t>Eine Anrechnung der Vergütung auf gesetzliche Gebühren aus einer vorherigen oder nachfolgenden Tätigkeit wird ausgeschlos</w:t>
      </w:r>
      <w:r>
        <w:t>sen.</w:t>
      </w:r>
    </w:p>
    <w:p w:rsidR="003A7904" w:rsidRDefault="003A7904" w:rsidP="003A7904">
      <w:pPr>
        <w:jc w:val="both"/>
      </w:pPr>
      <w:r>
        <w:t>5.</w:t>
      </w:r>
    </w:p>
    <w:p w:rsidR="003A7904" w:rsidRDefault="003A7904" w:rsidP="003A7904">
      <w:pPr>
        <w:jc w:val="both"/>
      </w:pPr>
      <w:r>
        <w:t>Die Rechtsanwälte dürfen angemessene Vorschus</w:t>
      </w:r>
      <w:r>
        <w:t>szahlungen in Rechnung stellen.</w:t>
      </w:r>
    </w:p>
    <w:p w:rsidR="003A7904" w:rsidRDefault="003A7904" w:rsidP="003A7904">
      <w:pPr>
        <w:jc w:val="both"/>
      </w:pPr>
      <w:r>
        <w:t>6.</w:t>
      </w:r>
    </w:p>
    <w:p w:rsidR="003A7904" w:rsidRDefault="003A7904" w:rsidP="003A7904">
      <w:pPr>
        <w:jc w:val="both"/>
      </w:pPr>
      <w:r>
        <w:lastRenderedPageBreak/>
        <w:t>Soweit Kosten und Auslagen vorstehend nicht geregelt sind, gelten die Bestimmungen der Nrn. 7000 ff. des Verg</w:t>
      </w:r>
      <w:r>
        <w:t>ütungsverzeichnisses (VV RVG).</w:t>
      </w:r>
      <w:bookmarkStart w:id="0" w:name="_GoBack"/>
      <w:bookmarkEnd w:id="0"/>
    </w:p>
    <w:p w:rsidR="003A7904" w:rsidRDefault="003A7904" w:rsidP="003A7904">
      <w:pPr>
        <w:jc w:val="both"/>
      </w:pPr>
      <w:r>
        <w:t xml:space="preserve">Die vorstehende Vergütungsvereinbarung weicht von den gesetzlichen Gebühren gem. Rechtsanwaltsvergütungsgesetz (RVG) ab. Jene Gebühren richten </w:t>
      </w:r>
      <w:r>
        <w:t>sich nach dem Gegenstandswert,</w:t>
      </w:r>
      <w:r>
        <w:t xml:space="preserve"> welcher sich grundsätzlich nach dem wirtschaftlichen Interesse des Mandanten bemisst.</w:t>
      </w:r>
    </w:p>
    <w:p w:rsidR="003A7904" w:rsidRDefault="003A7904" w:rsidP="003A7904">
      <w:pPr>
        <w:jc w:val="both"/>
      </w:pPr>
      <w:r>
        <w:t>Die hier vereinbarten Honorare können die gesetzlichen Gebühren übersteigen. Insofern wird der Mandant darauf hingewiesen, dass die gegnerische Partei, ein Verfahrensbeteiligter oder die Staatskasse im Falle der Kostenerstattung regelmäßig nicht mehr als die gesetzliche Ver</w:t>
      </w:r>
      <w:r>
        <w:t>gütung erstatten muss.</w:t>
      </w:r>
    </w:p>
    <w:p w:rsidR="003A7904" w:rsidRDefault="003A7904" w:rsidP="003A7904">
      <w:pPr>
        <w:jc w:val="both"/>
      </w:pPr>
    </w:p>
    <w:p w:rsidR="003A7904" w:rsidRDefault="003A7904" w:rsidP="003A7904">
      <w:pPr>
        <w:jc w:val="both"/>
      </w:pPr>
      <w:r>
        <w:t>Berlin, den</w:t>
      </w:r>
      <w:r>
        <w:t xml:space="preserve">             </w:t>
      </w:r>
    </w:p>
    <w:p w:rsidR="003A7904" w:rsidRDefault="003A7904" w:rsidP="003A7904">
      <w:pPr>
        <w:jc w:val="both"/>
      </w:pPr>
    </w:p>
    <w:p w:rsidR="003A7904" w:rsidRDefault="003A7904" w:rsidP="003A7904">
      <w:pPr>
        <w:jc w:val="both"/>
      </w:pPr>
      <w:r>
        <w:t>_____________</w:t>
      </w:r>
      <w:r>
        <w:tab/>
      </w:r>
      <w:r>
        <w:tab/>
      </w:r>
      <w:r>
        <w:tab/>
      </w:r>
      <w:r>
        <w:tab/>
      </w:r>
      <w:r>
        <w:tab/>
        <w:t>________________</w:t>
      </w:r>
    </w:p>
    <w:p w:rsidR="003A7904" w:rsidRDefault="003A7904" w:rsidP="003A7904">
      <w:pPr>
        <w:jc w:val="both"/>
      </w:pPr>
      <w:r>
        <w:t>Mandant(en)</w:t>
      </w:r>
      <w:r>
        <w:tab/>
      </w:r>
      <w:r>
        <w:tab/>
      </w:r>
      <w:r>
        <w:tab/>
      </w:r>
      <w:r>
        <w:tab/>
      </w:r>
      <w:r>
        <w:tab/>
      </w:r>
      <w:r>
        <w:tab/>
        <w:t>Rechtsanwälte</w:t>
      </w:r>
    </w:p>
    <w:p w:rsidR="003A7904" w:rsidRDefault="003A7904" w:rsidP="003A7904">
      <w:pPr>
        <w:jc w:val="both"/>
      </w:pPr>
      <w:r>
        <w:t xml:space="preserve">             </w:t>
      </w:r>
    </w:p>
    <w:p w:rsidR="0060553C" w:rsidRDefault="0060553C" w:rsidP="003A7904">
      <w:pPr>
        <w:jc w:val="both"/>
      </w:pPr>
    </w:p>
    <w:sectPr w:rsidR="006055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04"/>
    <w:rsid w:val="003A7904"/>
    <w:rsid w:val="00605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B945B-0041-4473-B2FB-87904289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7746">
      <w:bodyDiv w:val="1"/>
      <w:marLeft w:val="0"/>
      <w:marRight w:val="0"/>
      <w:marTop w:val="0"/>
      <w:marBottom w:val="0"/>
      <w:divBdr>
        <w:top w:val="none" w:sz="0" w:space="0" w:color="auto"/>
        <w:left w:val="none" w:sz="0" w:space="0" w:color="auto"/>
        <w:bottom w:val="none" w:sz="0" w:space="0" w:color="auto"/>
        <w:right w:val="none" w:sz="0" w:space="0" w:color="auto"/>
      </w:divBdr>
      <w:divsChild>
        <w:div w:id="1469663978">
          <w:marLeft w:val="0"/>
          <w:marRight w:val="0"/>
          <w:marTop w:val="0"/>
          <w:marBottom w:val="0"/>
          <w:divBdr>
            <w:top w:val="none" w:sz="0" w:space="0" w:color="auto"/>
            <w:left w:val="none" w:sz="0" w:space="0" w:color="auto"/>
            <w:bottom w:val="none" w:sz="0" w:space="0" w:color="auto"/>
            <w:right w:val="none" w:sz="0" w:space="0" w:color="auto"/>
          </w:divBdr>
          <w:divsChild>
            <w:div w:id="1786655276">
              <w:marLeft w:val="0"/>
              <w:marRight w:val="0"/>
              <w:marTop w:val="0"/>
              <w:marBottom w:val="0"/>
              <w:divBdr>
                <w:top w:val="none" w:sz="0" w:space="0" w:color="auto"/>
                <w:left w:val="none" w:sz="0" w:space="0" w:color="auto"/>
                <w:bottom w:val="none" w:sz="0" w:space="0" w:color="auto"/>
                <w:right w:val="none" w:sz="0" w:space="0" w:color="auto"/>
              </w:divBdr>
              <w:divsChild>
                <w:div w:id="1203443459">
                  <w:marLeft w:val="0"/>
                  <w:marRight w:val="450"/>
                  <w:marTop w:val="0"/>
                  <w:marBottom w:val="0"/>
                  <w:divBdr>
                    <w:top w:val="none" w:sz="0" w:space="0" w:color="auto"/>
                    <w:left w:val="none" w:sz="0" w:space="0" w:color="auto"/>
                    <w:bottom w:val="none" w:sz="0" w:space="0" w:color="auto"/>
                    <w:right w:val="none" w:sz="0" w:space="0" w:color="auto"/>
                  </w:divBdr>
                  <w:divsChild>
                    <w:div w:id="2114739158">
                      <w:marLeft w:val="0"/>
                      <w:marRight w:val="0"/>
                      <w:marTop w:val="0"/>
                      <w:marBottom w:val="0"/>
                      <w:divBdr>
                        <w:top w:val="none" w:sz="0" w:space="0" w:color="auto"/>
                        <w:left w:val="none" w:sz="0" w:space="0" w:color="auto"/>
                        <w:bottom w:val="none" w:sz="0" w:space="0" w:color="auto"/>
                        <w:right w:val="none" w:sz="0" w:space="0" w:color="auto"/>
                      </w:divBdr>
                      <w:divsChild>
                        <w:div w:id="1911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Winter</dc:creator>
  <cp:keywords/>
  <dc:description/>
  <cp:lastModifiedBy>Martin Winter</cp:lastModifiedBy>
  <cp:revision>1</cp:revision>
  <dcterms:created xsi:type="dcterms:W3CDTF">2016-09-28T22:38:00Z</dcterms:created>
  <dcterms:modified xsi:type="dcterms:W3CDTF">2016-09-28T22:45:00Z</dcterms:modified>
</cp:coreProperties>
</file>